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34679" w14:textId="0BCA4EF0" w:rsidR="00F46FB3" w:rsidRPr="00E41EA9" w:rsidRDefault="00E41EA9" w:rsidP="00CC4269">
      <w:pPr>
        <w:autoSpaceDE w:val="0"/>
        <w:autoSpaceDN w:val="0"/>
        <w:adjustRightInd w:val="0"/>
        <w:spacing w:after="0"/>
        <w:rPr>
          <w:rFonts w:ascii="Arial" w:hAnsi="Arial" w:cs="Arial"/>
          <w:b/>
          <w:sz w:val="20"/>
          <w:szCs w:val="20"/>
          <w:lang w:val="fr-FR"/>
        </w:rPr>
      </w:pPr>
      <w:r>
        <w:rPr>
          <w:rFonts w:ascii="Arial" w:hAnsi="Arial" w:cs="Arial"/>
          <w:b/>
          <w:sz w:val="20"/>
          <w:szCs w:val="20"/>
          <w:lang w:val="fr-FR"/>
        </w:rPr>
        <w:t>Mars 2026</w:t>
      </w:r>
    </w:p>
    <w:p w14:paraId="43D3884B" w14:textId="77777777" w:rsidR="00CC4269" w:rsidRPr="00E41EA9" w:rsidRDefault="00CC4269" w:rsidP="00CC4269">
      <w:pPr>
        <w:autoSpaceDE w:val="0"/>
        <w:autoSpaceDN w:val="0"/>
        <w:adjustRightInd w:val="0"/>
        <w:spacing w:after="0"/>
        <w:rPr>
          <w:rFonts w:ascii="Arial" w:hAnsi="Arial" w:cs="Arial"/>
          <w:sz w:val="20"/>
          <w:szCs w:val="20"/>
          <w:lang w:val="fr-FR"/>
        </w:rPr>
      </w:pPr>
    </w:p>
    <w:p w14:paraId="25207426" w14:textId="77777777" w:rsidR="00CC4269" w:rsidRPr="00E41EA9" w:rsidRDefault="00CC4269" w:rsidP="00CC4269">
      <w:pPr>
        <w:autoSpaceDE w:val="0"/>
        <w:autoSpaceDN w:val="0"/>
        <w:adjustRightInd w:val="0"/>
        <w:spacing w:after="0"/>
        <w:rPr>
          <w:rFonts w:ascii="Arial" w:hAnsi="Arial" w:cs="Arial"/>
          <w:sz w:val="20"/>
          <w:szCs w:val="20"/>
          <w:lang w:val="fr-FR"/>
        </w:rPr>
      </w:pPr>
    </w:p>
    <w:p w14:paraId="6914938B" w14:textId="5B0EA378" w:rsidR="00CC4269" w:rsidRDefault="00CC4269" w:rsidP="00CC4269">
      <w:pPr>
        <w:autoSpaceDE w:val="0"/>
        <w:autoSpaceDN w:val="0"/>
        <w:adjustRightInd w:val="0"/>
        <w:spacing w:after="0"/>
        <w:rPr>
          <w:rFonts w:ascii="Arial" w:hAnsi="Arial" w:cs="Arial"/>
          <w:sz w:val="20"/>
          <w:szCs w:val="20"/>
          <w:lang w:val="fr-FR"/>
        </w:rPr>
      </w:pPr>
    </w:p>
    <w:p w14:paraId="5BA21905" w14:textId="77777777" w:rsidR="00E41EA9" w:rsidRPr="00E41EA9" w:rsidRDefault="00E41EA9" w:rsidP="00CC4269">
      <w:pPr>
        <w:autoSpaceDE w:val="0"/>
        <w:autoSpaceDN w:val="0"/>
        <w:adjustRightInd w:val="0"/>
        <w:spacing w:after="0"/>
        <w:rPr>
          <w:rFonts w:ascii="Arial" w:hAnsi="Arial" w:cs="Arial"/>
          <w:sz w:val="20"/>
          <w:szCs w:val="20"/>
          <w:lang w:val="fr-FR"/>
        </w:rPr>
      </w:pPr>
    </w:p>
    <w:p w14:paraId="10D4DE6C" w14:textId="77777777" w:rsidR="00E41EA9" w:rsidRPr="00E41EA9" w:rsidRDefault="00E41EA9" w:rsidP="00E41EA9">
      <w:pPr>
        <w:autoSpaceDE w:val="0"/>
        <w:autoSpaceDN w:val="0"/>
        <w:adjustRightInd w:val="0"/>
        <w:spacing w:after="0"/>
        <w:rPr>
          <w:rFonts w:ascii="Arial" w:hAnsi="Arial" w:cs="Arial"/>
          <w:b/>
          <w:bCs/>
          <w:lang w:val="fr-FR"/>
        </w:rPr>
      </w:pPr>
      <w:r w:rsidRPr="00E41EA9">
        <w:rPr>
          <w:rFonts w:ascii="Arial" w:hAnsi="Arial" w:cs="Arial"/>
          <w:b/>
          <w:bCs/>
          <w:lang w:val="fr-FR"/>
        </w:rPr>
        <w:t>Entre Strass et industrie</w:t>
      </w:r>
    </w:p>
    <w:p w14:paraId="51658005" w14:textId="77777777" w:rsidR="00E41EA9" w:rsidRPr="00E41EA9" w:rsidRDefault="00E41EA9" w:rsidP="00E41EA9">
      <w:pPr>
        <w:autoSpaceDE w:val="0"/>
        <w:autoSpaceDN w:val="0"/>
        <w:adjustRightInd w:val="0"/>
        <w:spacing w:after="0"/>
        <w:rPr>
          <w:rFonts w:ascii="Arial" w:hAnsi="Arial" w:cs="Arial"/>
          <w:lang w:val="fr-FR"/>
        </w:rPr>
      </w:pPr>
    </w:p>
    <w:p w14:paraId="3DED0ECB" w14:textId="241B0B04" w:rsidR="00E41EA9" w:rsidRPr="00854D1B" w:rsidRDefault="00E41EA9" w:rsidP="00E41EA9">
      <w:pPr>
        <w:autoSpaceDE w:val="0"/>
        <w:autoSpaceDN w:val="0"/>
        <w:adjustRightInd w:val="0"/>
        <w:spacing w:after="0"/>
        <w:rPr>
          <w:rFonts w:ascii="Arial" w:hAnsi="Arial" w:cs="Arial"/>
          <w:b/>
          <w:bCs/>
          <w:lang w:val="fr-FR"/>
        </w:rPr>
      </w:pPr>
      <w:r w:rsidRPr="00854D1B">
        <w:rPr>
          <w:rFonts w:ascii="Arial" w:hAnsi="Arial" w:cs="Arial"/>
          <w:b/>
          <w:bCs/>
          <w:lang w:val="fr-FR"/>
        </w:rPr>
        <w:t xml:space="preserve">Implants, catalyseurs et alliances : des objets qui ne pourraient pas être plus différents. Pourtant, ils ont un point commun sur certains points : l'utilisation de métaux précieux. L'or et le platine font partie des métaux précieux les plus importants de notre planète sur le plan technique. Ils remplissent des fonctions importantes dans les processus industriels, l'électronique et la bijouterie. Malgré leur stabilité chimique similaire, ils se distinguent nettement par leur volume d'extraction, leur comportement en matière de prix et leur usinabilité. </w:t>
      </w:r>
      <w:r w:rsidR="00854D1B" w:rsidRPr="00854D1B">
        <w:rPr>
          <w:rFonts w:ascii="Arial" w:hAnsi="Arial" w:cs="Arial"/>
          <w:b/>
          <w:bCs/>
          <w:lang w:val="fr-FR"/>
        </w:rPr>
        <w:t xml:space="preserve">Grâce à sa gamme d'outils, la société Paul Horn </w:t>
      </w:r>
      <w:proofErr w:type="spellStart"/>
      <w:r w:rsidR="00854D1B" w:rsidRPr="00854D1B">
        <w:rPr>
          <w:rFonts w:ascii="Arial" w:hAnsi="Arial" w:cs="Arial"/>
          <w:b/>
          <w:bCs/>
          <w:lang w:val="fr-FR"/>
        </w:rPr>
        <w:t>GmbH</w:t>
      </w:r>
      <w:proofErr w:type="spellEnd"/>
      <w:r w:rsidR="00854D1B" w:rsidRPr="00854D1B">
        <w:rPr>
          <w:rFonts w:ascii="Arial" w:hAnsi="Arial" w:cs="Arial"/>
          <w:b/>
          <w:bCs/>
          <w:lang w:val="fr-FR"/>
        </w:rPr>
        <w:t xml:space="preserve"> propose un large éventail d'outils de précision destinés à l'usinage rentable des métaux précieux.</w:t>
      </w:r>
    </w:p>
    <w:p w14:paraId="4A5D4674" w14:textId="77777777" w:rsidR="00E41EA9" w:rsidRPr="00E41EA9" w:rsidRDefault="00E41EA9" w:rsidP="00E41EA9">
      <w:pPr>
        <w:autoSpaceDE w:val="0"/>
        <w:autoSpaceDN w:val="0"/>
        <w:adjustRightInd w:val="0"/>
        <w:spacing w:after="0"/>
        <w:rPr>
          <w:rFonts w:ascii="Arial" w:hAnsi="Arial" w:cs="Arial"/>
          <w:lang w:val="fr-FR"/>
        </w:rPr>
      </w:pPr>
    </w:p>
    <w:p w14:paraId="7764BFA2" w14:textId="77777777" w:rsidR="00E41EA9" w:rsidRPr="00E41EA9" w:rsidRDefault="00E41EA9" w:rsidP="00E41EA9">
      <w:pPr>
        <w:autoSpaceDE w:val="0"/>
        <w:autoSpaceDN w:val="0"/>
        <w:adjustRightInd w:val="0"/>
        <w:spacing w:after="0"/>
        <w:rPr>
          <w:rFonts w:ascii="Arial" w:hAnsi="Arial" w:cs="Arial"/>
          <w:lang w:val="fr-FR"/>
        </w:rPr>
      </w:pPr>
      <w:r w:rsidRPr="00E41EA9">
        <w:rPr>
          <w:rFonts w:ascii="Arial" w:hAnsi="Arial" w:cs="Arial"/>
          <w:lang w:val="fr-FR"/>
        </w:rPr>
        <w:t>Chaque année, les entreprises minières extraient environ 3 660 tonnes d'or dans le monde. Des pays comme la Chine, l'Australie, la Russie, le Canada et les États-Unis poussent à cette extraction et assurent ainsi une grande disponibilité mondiale. Les réserves mondiales d'environ 54 000 tonnes créent une sécurité d'approvisionnement supplémentaire et stabilisent le marché à long terme. Le platine évolue à un niveau d'extraction plus faible : les mines du monde entier en extraient environ 180 tonnes par an. L'Afrique du Sud fournit plus des deux tiers de cette quantité et détermine ainsi de manière décisive l'offre mondiale. La Russie et le Zimbabwe complètent la production mondiale.</w:t>
      </w:r>
    </w:p>
    <w:p w14:paraId="6F188E7A" w14:textId="77777777" w:rsidR="00E41EA9" w:rsidRPr="00E41EA9" w:rsidRDefault="00E41EA9" w:rsidP="00E41EA9">
      <w:pPr>
        <w:autoSpaceDE w:val="0"/>
        <w:autoSpaceDN w:val="0"/>
        <w:adjustRightInd w:val="0"/>
        <w:spacing w:after="0"/>
        <w:rPr>
          <w:rFonts w:ascii="Arial" w:hAnsi="Arial" w:cs="Arial"/>
          <w:lang w:val="fr-FR"/>
        </w:rPr>
      </w:pPr>
    </w:p>
    <w:p w14:paraId="1C1EDC6D" w14:textId="77777777" w:rsidR="00E41EA9" w:rsidRPr="00E41EA9" w:rsidRDefault="00E41EA9" w:rsidP="00E41EA9">
      <w:pPr>
        <w:autoSpaceDE w:val="0"/>
        <w:autoSpaceDN w:val="0"/>
        <w:adjustRightInd w:val="0"/>
        <w:spacing w:after="0"/>
        <w:rPr>
          <w:rFonts w:ascii="Arial" w:hAnsi="Arial" w:cs="Arial"/>
          <w:b/>
          <w:bCs/>
          <w:lang w:val="fr-FR"/>
        </w:rPr>
      </w:pPr>
      <w:r w:rsidRPr="00E41EA9">
        <w:rPr>
          <w:rFonts w:ascii="Arial" w:hAnsi="Arial" w:cs="Arial"/>
          <w:b/>
          <w:bCs/>
          <w:lang w:val="fr-FR"/>
        </w:rPr>
        <w:t>Des prix en hausse</w:t>
      </w:r>
    </w:p>
    <w:p w14:paraId="66FB100C" w14:textId="01C8BCA8" w:rsidR="00E41EA9" w:rsidRPr="00E41EA9" w:rsidRDefault="00854D1B" w:rsidP="00E41EA9">
      <w:pPr>
        <w:autoSpaceDE w:val="0"/>
        <w:autoSpaceDN w:val="0"/>
        <w:adjustRightInd w:val="0"/>
        <w:spacing w:after="0"/>
        <w:rPr>
          <w:rFonts w:ascii="Arial" w:hAnsi="Arial" w:cs="Arial"/>
          <w:lang w:val="fr-FR"/>
        </w:rPr>
      </w:pPr>
      <w:r w:rsidRPr="00854D1B">
        <w:rPr>
          <w:rFonts w:ascii="Arial" w:hAnsi="Arial" w:cs="Arial"/>
          <w:lang w:val="fr-FR"/>
        </w:rPr>
        <w:t>Le cours de l'once d'or ne cesse d'augmenter et réagit fortement aux évolutions économiques.</w:t>
      </w:r>
      <w:r>
        <w:rPr>
          <w:rFonts w:ascii="Arial" w:hAnsi="Arial" w:cs="Arial"/>
          <w:lang w:val="fr-FR"/>
        </w:rPr>
        <w:t xml:space="preserve"> </w:t>
      </w:r>
      <w:r w:rsidR="00E41EA9" w:rsidRPr="00E41EA9">
        <w:rPr>
          <w:rFonts w:ascii="Arial" w:hAnsi="Arial" w:cs="Arial"/>
          <w:lang w:val="fr-FR"/>
        </w:rPr>
        <w:t>L'or se négocie actuellement à environ 3 600 euros l'once et réagit fortement aux évolutions économiques. Les investisseurs achètent de l'or surtout en période d'incertitude économique, ce qui entraîne souvent une hausse du prix. Le prix du platine reste généralement inférieur à celui de l'or, bien que sa présence soit nettement moins fréquente. Étant donné que l'industrie contrôle la majeure partie de la demande de platine, le prix du platine présente des fluctuations plus importantes et suit de près les cycles de production de l'industrie automobile et chimique.</w:t>
      </w:r>
    </w:p>
    <w:p w14:paraId="48A37D04" w14:textId="77777777" w:rsidR="00E41EA9" w:rsidRPr="00E41EA9" w:rsidRDefault="00E41EA9" w:rsidP="00E41EA9">
      <w:pPr>
        <w:autoSpaceDE w:val="0"/>
        <w:autoSpaceDN w:val="0"/>
        <w:adjustRightInd w:val="0"/>
        <w:spacing w:after="0"/>
        <w:rPr>
          <w:rFonts w:ascii="Arial" w:hAnsi="Arial" w:cs="Arial"/>
          <w:lang w:val="fr-FR"/>
        </w:rPr>
      </w:pPr>
    </w:p>
    <w:p w14:paraId="42FFE86E" w14:textId="77777777" w:rsidR="00E41EA9" w:rsidRPr="00E41EA9" w:rsidRDefault="00E41EA9" w:rsidP="00E41EA9">
      <w:pPr>
        <w:autoSpaceDE w:val="0"/>
        <w:autoSpaceDN w:val="0"/>
        <w:adjustRightInd w:val="0"/>
        <w:spacing w:after="0"/>
        <w:rPr>
          <w:rFonts w:ascii="Arial" w:hAnsi="Arial" w:cs="Arial"/>
          <w:lang w:val="fr-FR"/>
        </w:rPr>
      </w:pPr>
      <w:r w:rsidRPr="00E41EA9">
        <w:rPr>
          <w:rFonts w:ascii="Arial" w:hAnsi="Arial" w:cs="Arial"/>
          <w:lang w:val="fr-FR"/>
        </w:rPr>
        <w:t>Dans les applications techniques, l'or fournit des avantages importants. L'industrie électronique utilise le métal précieux parce qu'il offre une conductivité électrique fiable et qu'il ne s'oxyde pas, même dans les conditions les plus difficiles ne s'oxyde pas dans des conditions environnementales difficiles. Les fabricants utilisent l'or dans les surfaces de contact, les structures conductrices et la microélectronique afin de garantir une grande stabilité des signaux et une longue durée de vie. Le secteur médical utilise l'or pour sa biocompatibilité dans les alliages dentaires, les implants et les systèmes de diagnostic. En outre, l'industrie de la bijouterie continue de considérer l'or comme le principal métal précieux en raison de sa couleur chaude et de sa stabilité.</w:t>
      </w:r>
    </w:p>
    <w:p w14:paraId="6E84A5F7" w14:textId="77777777" w:rsidR="00E41EA9" w:rsidRPr="00E41EA9" w:rsidRDefault="00E41EA9" w:rsidP="00E41EA9">
      <w:pPr>
        <w:autoSpaceDE w:val="0"/>
        <w:autoSpaceDN w:val="0"/>
        <w:adjustRightInd w:val="0"/>
        <w:spacing w:after="0"/>
        <w:rPr>
          <w:rFonts w:ascii="Arial" w:hAnsi="Arial" w:cs="Arial"/>
          <w:lang w:val="fr-FR"/>
        </w:rPr>
      </w:pPr>
    </w:p>
    <w:p w14:paraId="71DFE50C" w14:textId="77777777" w:rsidR="00E41EA9" w:rsidRPr="00E41EA9" w:rsidRDefault="00E41EA9" w:rsidP="00E41EA9">
      <w:pPr>
        <w:autoSpaceDE w:val="0"/>
        <w:autoSpaceDN w:val="0"/>
        <w:adjustRightInd w:val="0"/>
        <w:spacing w:after="0"/>
        <w:rPr>
          <w:rFonts w:ascii="Arial" w:hAnsi="Arial" w:cs="Arial"/>
          <w:b/>
          <w:bCs/>
          <w:lang w:val="fr-FR"/>
        </w:rPr>
      </w:pPr>
      <w:r w:rsidRPr="00E41EA9">
        <w:rPr>
          <w:rFonts w:ascii="Arial" w:hAnsi="Arial" w:cs="Arial"/>
          <w:b/>
          <w:bCs/>
          <w:lang w:val="fr-FR"/>
        </w:rPr>
        <w:t>Applications industrielles</w:t>
      </w:r>
    </w:p>
    <w:p w14:paraId="3562E1FD" w14:textId="77777777" w:rsidR="00E41EA9" w:rsidRPr="00E41EA9" w:rsidRDefault="00E41EA9" w:rsidP="00E41EA9">
      <w:pPr>
        <w:autoSpaceDE w:val="0"/>
        <w:autoSpaceDN w:val="0"/>
        <w:adjustRightInd w:val="0"/>
        <w:spacing w:after="0"/>
        <w:rPr>
          <w:rFonts w:ascii="Arial" w:hAnsi="Arial" w:cs="Arial"/>
          <w:lang w:val="fr-FR"/>
        </w:rPr>
      </w:pPr>
      <w:r w:rsidRPr="00E41EA9">
        <w:rPr>
          <w:rFonts w:ascii="Arial" w:hAnsi="Arial" w:cs="Arial"/>
          <w:lang w:val="fr-FR"/>
        </w:rPr>
        <w:lastRenderedPageBreak/>
        <w:t>Le platine remplit avant tout des fonctions industrielles. L'industrie automobile utilise le platine dans les catalyseurs d'échappement pour transformer chimiquement les polluants et réduire les émissions. Les usines chimiques utilisent le platine comme catalyseur dans les processus de production de silicones, d'agents pharmaceutiques, d'engrais et de divers polymères. En raison de sa température de fusion élevée et de sa grande résistance à la corrosion, l'industrie utilise également le platine dans les thermocouples, les appareils de laboratoire et les composants à haute température. Dans le domaine de la bijouterie, le platine atteint certes des volumes de vente moins importants que l'or, mais les clients apprécient sa dureté, sa couleur et sa résistance à l'abrasion.</w:t>
      </w:r>
    </w:p>
    <w:p w14:paraId="2D847EA7" w14:textId="77777777" w:rsidR="00E41EA9" w:rsidRPr="00E41EA9" w:rsidRDefault="00E41EA9" w:rsidP="00E41EA9">
      <w:pPr>
        <w:autoSpaceDE w:val="0"/>
        <w:autoSpaceDN w:val="0"/>
        <w:adjustRightInd w:val="0"/>
        <w:spacing w:after="0"/>
        <w:rPr>
          <w:rFonts w:ascii="Arial" w:hAnsi="Arial" w:cs="Arial"/>
          <w:lang w:val="fr-FR"/>
        </w:rPr>
      </w:pPr>
    </w:p>
    <w:p w14:paraId="4EFB9B0B" w14:textId="6F708007" w:rsidR="00E41EA9" w:rsidRDefault="00E41EA9" w:rsidP="00E41EA9">
      <w:pPr>
        <w:autoSpaceDE w:val="0"/>
        <w:autoSpaceDN w:val="0"/>
        <w:adjustRightInd w:val="0"/>
        <w:spacing w:after="0"/>
        <w:rPr>
          <w:rFonts w:ascii="Arial" w:hAnsi="Arial" w:cs="Arial"/>
          <w:lang w:val="fr-FR"/>
        </w:rPr>
      </w:pPr>
      <w:r w:rsidRPr="00E41EA9">
        <w:rPr>
          <w:rFonts w:ascii="Arial" w:hAnsi="Arial" w:cs="Arial"/>
          <w:lang w:val="fr-FR"/>
        </w:rPr>
        <w:t>Les propriétés d'usinage des deux métaux sont très différentes. L'or est facile à usiner. Il génère de faibles forces de coupe, entraîne une usure minimale des outils et permet d'obtenir des surfaces de très haute qualité avec un éclat miroir. Les orfèvres, les mécaniciens de précision et les fabricants d'électronique profitent de cette ductilité qui permet des tolérances étroites et des géométries complexes. Le platine pose des exigences nettement plus élevées en matière d'usinage. Sa résistance et sa ténacité élevées augmentent les forces de coupe et sollicitent davantage les outils. L'usinage génère des températures élevées dans la zone de cisaillement. Pour les géométries filigranes, les entreprises ont besoin de géométries d'outils spéciales ainsi que de paramètres de coupe optimisés. Ces facteurs augmentent les efforts et les coûts de production des composants en platine.</w:t>
      </w:r>
    </w:p>
    <w:p w14:paraId="49EC784A" w14:textId="0FCF9085" w:rsidR="00854D1B" w:rsidRDefault="00854D1B" w:rsidP="00E41EA9">
      <w:pPr>
        <w:autoSpaceDE w:val="0"/>
        <w:autoSpaceDN w:val="0"/>
        <w:adjustRightInd w:val="0"/>
        <w:spacing w:after="0"/>
        <w:rPr>
          <w:rFonts w:ascii="Arial" w:hAnsi="Arial" w:cs="Arial"/>
          <w:lang w:val="fr-FR"/>
        </w:rPr>
      </w:pPr>
    </w:p>
    <w:p w14:paraId="334BB606" w14:textId="77777777" w:rsidR="00854D1B" w:rsidRPr="00854D1B" w:rsidRDefault="00854D1B" w:rsidP="00854D1B">
      <w:pPr>
        <w:autoSpaceDE w:val="0"/>
        <w:autoSpaceDN w:val="0"/>
        <w:adjustRightInd w:val="0"/>
        <w:spacing w:after="0"/>
        <w:rPr>
          <w:rFonts w:ascii="Arial" w:hAnsi="Arial" w:cs="Arial"/>
          <w:b/>
          <w:bCs/>
          <w:lang w:val="fr-FR"/>
        </w:rPr>
      </w:pPr>
      <w:r w:rsidRPr="00854D1B">
        <w:rPr>
          <w:rFonts w:ascii="Arial" w:hAnsi="Arial" w:cs="Arial"/>
          <w:b/>
          <w:bCs/>
          <w:lang w:val="fr-FR"/>
        </w:rPr>
        <w:t>Exemple pratique</w:t>
      </w:r>
    </w:p>
    <w:p w14:paraId="28E7E56E" w14:textId="74A274A5" w:rsidR="00854D1B" w:rsidRPr="00E41EA9" w:rsidRDefault="00854D1B" w:rsidP="00E41EA9">
      <w:pPr>
        <w:autoSpaceDE w:val="0"/>
        <w:autoSpaceDN w:val="0"/>
        <w:adjustRightInd w:val="0"/>
        <w:spacing w:after="0"/>
        <w:rPr>
          <w:rFonts w:ascii="Arial" w:hAnsi="Arial" w:cs="Arial"/>
          <w:lang w:val="fr-FR"/>
        </w:rPr>
      </w:pPr>
      <w:r w:rsidRPr="00854D1B">
        <w:rPr>
          <w:rFonts w:ascii="Arial" w:hAnsi="Arial" w:cs="Arial"/>
          <w:lang w:val="fr-FR"/>
        </w:rPr>
        <w:t>Un utilisateur issu de l'industrie de la bijouterie mise systématiquement, dans la fabrication d'alliances, sur un concept d'outillage uniforme de Horn, composé de lames équipées de PKD et de MKD. Les outils PKD sont principalement utilisés pour l'ébauche et permettent un pré-usinage précis des contours extérieurs et intérieurs, tandis que les lames MKD sont chargées de la finition brillante et produisent des surfaces lisses comme un miroir. Le système 11P, en particulier, combine l'usinage extérieur et intérieur en un seul outil, améliorant ainsi l'efficacité et la précision. La qualité de l'arête de coupe est déterminante pour le résultat final et est obtenue grâce à un travail manuel minutieux réalisé avec la plus grande précision.</w:t>
      </w:r>
    </w:p>
    <w:p w14:paraId="2577CEB0" w14:textId="77777777" w:rsidR="00E41EA9" w:rsidRPr="00E41EA9" w:rsidRDefault="00E41EA9" w:rsidP="00E41EA9">
      <w:pPr>
        <w:autoSpaceDE w:val="0"/>
        <w:autoSpaceDN w:val="0"/>
        <w:adjustRightInd w:val="0"/>
        <w:spacing w:after="0"/>
        <w:rPr>
          <w:rFonts w:ascii="Arial" w:hAnsi="Arial" w:cs="Arial"/>
          <w:lang w:val="fr-FR"/>
        </w:rPr>
      </w:pPr>
    </w:p>
    <w:p w14:paraId="0040F9AD" w14:textId="4FE30A3B" w:rsidR="00E41EA9" w:rsidRDefault="00E41EA9" w:rsidP="00E41EA9">
      <w:pPr>
        <w:autoSpaceDE w:val="0"/>
        <w:autoSpaceDN w:val="0"/>
        <w:adjustRightInd w:val="0"/>
        <w:spacing w:after="0"/>
        <w:rPr>
          <w:rFonts w:ascii="Arial" w:hAnsi="Arial" w:cs="Arial"/>
          <w:lang w:val="fr-FR"/>
        </w:rPr>
      </w:pPr>
      <w:r w:rsidRPr="00E41EA9">
        <w:rPr>
          <w:rFonts w:ascii="Arial" w:hAnsi="Arial" w:cs="Arial"/>
          <w:lang w:val="fr-FR"/>
        </w:rPr>
        <w:t>Dans l'ensemble, l'or et le platine remplissent des fonctions techniques clairement délimitées. L'or soutient l'électronique de haute qualité et les applications précises grâce à sa grande malléabilité et à sa conductivité. Le platine, quant à lui, permet des processus industriels exigeants qui génèrent des contraintes thermiques et chimiques élevées. Grâce à leurs propriétés uniques, ces deux métaux restent des composants indispensables des technologies modernes.</w:t>
      </w:r>
      <w:r w:rsidR="00854D1B">
        <w:rPr>
          <w:rFonts w:ascii="Arial" w:hAnsi="Arial" w:cs="Arial"/>
          <w:lang w:val="fr-FR"/>
        </w:rPr>
        <w:t xml:space="preserve"> </w:t>
      </w:r>
      <w:r w:rsidR="00854D1B" w:rsidRPr="00854D1B">
        <w:rPr>
          <w:rFonts w:ascii="Arial" w:hAnsi="Arial" w:cs="Arial"/>
          <w:lang w:val="fr-FR"/>
        </w:rPr>
        <w:t>Horn propose une gamme d'outils optimale pour l'usinage de ces matériaux nobles.</w:t>
      </w:r>
    </w:p>
    <w:p w14:paraId="579FD3E8" w14:textId="2991542F" w:rsidR="00E41EA9" w:rsidRDefault="00E41EA9" w:rsidP="00E41EA9">
      <w:pPr>
        <w:autoSpaceDE w:val="0"/>
        <w:autoSpaceDN w:val="0"/>
        <w:adjustRightInd w:val="0"/>
        <w:spacing w:after="0"/>
        <w:rPr>
          <w:rFonts w:ascii="Arial" w:hAnsi="Arial" w:cs="Arial"/>
          <w:lang w:val="fr-FR"/>
        </w:rPr>
      </w:pPr>
    </w:p>
    <w:p w14:paraId="69999335" w14:textId="757495A6" w:rsidR="000119F4" w:rsidRPr="00E23998" w:rsidRDefault="00854D1B" w:rsidP="00E23998">
      <w:pPr>
        <w:autoSpaceDE w:val="0"/>
        <w:autoSpaceDN w:val="0"/>
        <w:adjustRightInd w:val="0"/>
        <w:spacing w:after="0" w:line="360" w:lineRule="auto"/>
        <w:rPr>
          <w:rFonts w:ascii="Arial" w:hAnsi="Arial" w:cs="Arial"/>
          <w:i/>
          <w:color w:val="222222"/>
          <w:lang w:val="fr-FR"/>
        </w:rPr>
      </w:pPr>
      <w:r>
        <w:rPr>
          <w:rStyle w:val="hps"/>
          <w:rFonts w:ascii="Arial" w:hAnsi="Arial" w:cs="Arial"/>
          <w:i/>
          <w:color w:val="222222"/>
          <w:lang w:val="fr-FR"/>
        </w:rPr>
        <w:t>5.871</w:t>
      </w:r>
      <w:r w:rsidR="00E41EA9">
        <w:rPr>
          <w:rStyle w:val="hps"/>
          <w:rFonts w:ascii="Arial" w:hAnsi="Arial" w:cs="Arial"/>
          <w:i/>
          <w:color w:val="222222"/>
          <w:lang w:val="fr-FR"/>
        </w:rPr>
        <w:t xml:space="preserve"> </w:t>
      </w:r>
      <w:r w:rsidR="00E41EA9" w:rsidRPr="000119F4">
        <w:rPr>
          <w:rStyle w:val="hps"/>
          <w:rFonts w:ascii="Arial" w:hAnsi="Arial" w:cs="Arial"/>
          <w:i/>
          <w:color w:val="222222"/>
          <w:lang w:val="fr-FR"/>
        </w:rPr>
        <w:t>caractères</w:t>
      </w:r>
      <w:r w:rsidR="00E41EA9" w:rsidRPr="000119F4">
        <w:rPr>
          <w:rStyle w:val="shorttext"/>
          <w:rFonts w:ascii="Arial" w:hAnsi="Arial" w:cs="Arial"/>
          <w:i/>
          <w:color w:val="222222"/>
          <w:lang w:val="fr-FR"/>
        </w:rPr>
        <w:t xml:space="preserve"> </w:t>
      </w:r>
      <w:r w:rsidR="00E41EA9" w:rsidRPr="000119F4">
        <w:rPr>
          <w:rStyle w:val="hps"/>
          <w:rFonts w:ascii="Arial" w:hAnsi="Arial" w:cs="Arial"/>
          <w:i/>
          <w:color w:val="222222"/>
          <w:lang w:val="fr-FR"/>
        </w:rPr>
        <w:t>espaces</w:t>
      </w:r>
      <w:r w:rsidR="00E41EA9" w:rsidRPr="000119F4">
        <w:rPr>
          <w:rStyle w:val="shorttext"/>
          <w:rFonts w:ascii="Arial" w:hAnsi="Arial" w:cs="Arial"/>
          <w:i/>
          <w:color w:val="222222"/>
          <w:lang w:val="fr-FR"/>
        </w:rPr>
        <w:t xml:space="preserve"> </w:t>
      </w:r>
      <w:r w:rsidR="00E41EA9" w:rsidRPr="000119F4">
        <w:rPr>
          <w:rStyle w:val="hps"/>
          <w:rFonts w:ascii="Arial" w:hAnsi="Arial" w:cs="Arial"/>
          <w:i/>
          <w:color w:val="222222"/>
          <w:lang w:val="fr-FR"/>
        </w:rPr>
        <w:t>incl</w:t>
      </w:r>
      <w:r w:rsidR="00E41EA9">
        <w:rPr>
          <w:rStyle w:val="hps"/>
          <w:rFonts w:ascii="Arial" w:hAnsi="Arial" w:cs="Arial"/>
          <w:i/>
          <w:color w:val="222222"/>
          <w:lang w:val="fr-FR"/>
        </w:rPr>
        <w:t>.</w:t>
      </w:r>
    </w:p>
    <w:p w14:paraId="0B53315B" w14:textId="5EFEA74B" w:rsidR="000119F4" w:rsidRDefault="00F07816" w:rsidP="000119F4">
      <w:pPr>
        <w:rPr>
          <w:rFonts w:ascii="Arial" w:hAnsi="Arial" w:cs="Arial"/>
          <w:lang w:val="en-US"/>
        </w:rPr>
      </w:pPr>
      <w:r>
        <w:rPr>
          <w:rFonts w:ascii="Arial" w:hAnsi="Arial" w:cs="Arial"/>
          <w:noProof/>
          <w:lang w:val="en-US"/>
        </w:rPr>
        <w:lastRenderedPageBreak/>
        <w:drawing>
          <wp:inline distT="0" distB="0" distL="0" distR="0" wp14:anchorId="6A64DD0F" wp14:editId="0FEC317F">
            <wp:extent cx="2197101" cy="1464734"/>
            <wp:effectExtent l="0" t="0" r="0" b="0"/>
            <wp:docPr id="10913912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391232" name="Grafik 109139123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22556" cy="1481704"/>
                    </a:xfrm>
                    <a:prstGeom prst="rect">
                      <a:avLst/>
                    </a:prstGeom>
                  </pic:spPr>
                </pic:pic>
              </a:graphicData>
            </a:graphic>
          </wp:inline>
        </w:drawing>
      </w:r>
    </w:p>
    <w:p w14:paraId="1FAD4EE7" w14:textId="77777777" w:rsidR="00F07816" w:rsidRPr="00F07816" w:rsidRDefault="00F07816" w:rsidP="00F07816">
      <w:pPr>
        <w:rPr>
          <w:rFonts w:ascii="Arial" w:hAnsi="Arial" w:cs="Arial"/>
          <w:lang w:val="en-US"/>
        </w:rPr>
      </w:pPr>
      <w:proofErr w:type="spellStart"/>
      <w:proofErr w:type="gramStart"/>
      <w:r w:rsidRPr="00F07816">
        <w:rPr>
          <w:rFonts w:ascii="Arial" w:hAnsi="Arial" w:cs="Arial"/>
          <w:lang w:val="en-US"/>
        </w:rPr>
        <w:t>Légende</w:t>
      </w:r>
      <w:proofErr w:type="spellEnd"/>
      <w:r w:rsidRPr="00F07816">
        <w:rPr>
          <w:rFonts w:ascii="Arial" w:hAnsi="Arial" w:cs="Arial"/>
          <w:lang w:val="en-US"/>
        </w:rPr>
        <w:t xml:space="preserve"> :</w:t>
      </w:r>
      <w:proofErr w:type="gramEnd"/>
      <w:r w:rsidRPr="00F07816">
        <w:rPr>
          <w:rFonts w:ascii="Arial" w:hAnsi="Arial" w:cs="Arial"/>
          <w:lang w:val="en-US"/>
        </w:rPr>
        <w:t xml:space="preserve"> Pour </w:t>
      </w:r>
      <w:proofErr w:type="spellStart"/>
      <w:r w:rsidRPr="00F07816">
        <w:rPr>
          <w:rFonts w:ascii="Arial" w:hAnsi="Arial" w:cs="Arial"/>
          <w:lang w:val="en-US"/>
        </w:rPr>
        <w:t>obtenir</w:t>
      </w:r>
      <w:proofErr w:type="spellEnd"/>
      <w:r w:rsidRPr="00F07816">
        <w:rPr>
          <w:rFonts w:ascii="Arial" w:hAnsi="Arial" w:cs="Arial"/>
          <w:lang w:val="en-US"/>
        </w:rPr>
        <w:t xml:space="preserve"> des </w:t>
      </w:r>
      <w:proofErr w:type="spellStart"/>
      <w:r w:rsidRPr="00F07816">
        <w:rPr>
          <w:rFonts w:ascii="Arial" w:hAnsi="Arial" w:cs="Arial"/>
          <w:lang w:val="en-US"/>
        </w:rPr>
        <w:t>finitions</w:t>
      </w:r>
      <w:proofErr w:type="spellEnd"/>
      <w:r w:rsidRPr="00F07816">
        <w:rPr>
          <w:rFonts w:ascii="Arial" w:hAnsi="Arial" w:cs="Arial"/>
          <w:lang w:val="en-US"/>
        </w:rPr>
        <w:t xml:space="preserve"> de surface d'un </w:t>
      </w:r>
      <w:proofErr w:type="spellStart"/>
      <w:r w:rsidRPr="00F07816">
        <w:rPr>
          <w:rFonts w:ascii="Arial" w:hAnsi="Arial" w:cs="Arial"/>
          <w:lang w:val="en-US"/>
        </w:rPr>
        <w:t>brillant</w:t>
      </w:r>
      <w:proofErr w:type="spellEnd"/>
      <w:r w:rsidRPr="00F07816">
        <w:rPr>
          <w:rFonts w:ascii="Arial" w:hAnsi="Arial" w:cs="Arial"/>
          <w:lang w:val="en-US"/>
        </w:rPr>
        <w:t xml:space="preserve"> </w:t>
      </w:r>
      <w:proofErr w:type="spellStart"/>
      <w:r w:rsidRPr="00F07816">
        <w:rPr>
          <w:rFonts w:ascii="Arial" w:hAnsi="Arial" w:cs="Arial"/>
          <w:lang w:val="en-US"/>
        </w:rPr>
        <w:t>miroitant</w:t>
      </w:r>
      <w:proofErr w:type="spellEnd"/>
      <w:r w:rsidRPr="00F07816">
        <w:rPr>
          <w:rFonts w:ascii="Arial" w:hAnsi="Arial" w:cs="Arial"/>
          <w:lang w:val="en-US"/>
        </w:rPr>
        <w:t xml:space="preserve">, la </w:t>
      </w:r>
      <w:proofErr w:type="spellStart"/>
      <w:r w:rsidRPr="00F07816">
        <w:rPr>
          <w:rFonts w:ascii="Arial" w:hAnsi="Arial" w:cs="Arial"/>
          <w:lang w:val="en-US"/>
        </w:rPr>
        <w:t>qualité</w:t>
      </w:r>
      <w:proofErr w:type="spellEnd"/>
      <w:r w:rsidRPr="00F07816">
        <w:rPr>
          <w:rFonts w:ascii="Arial" w:hAnsi="Arial" w:cs="Arial"/>
          <w:lang w:val="en-US"/>
        </w:rPr>
        <w:t xml:space="preserve"> de </w:t>
      </w:r>
      <w:proofErr w:type="spellStart"/>
      <w:r w:rsidRPr="00F07816">
        <w:rPr>
          <w:rFonts w:ascii="Arial" w:hAnsi="Arial" w:cs="Arial"/>
          <w:lang w:val="en-US"/>
        </w:rPr>
        <w:t>l'arête</w:t>
      </w:r>
      <w:proofErr w:type="spellEnd"/>
      <w:r w:rsidRPr="00F07816">
        <w:rPr>
          <w:rFonts w:ascii="Arial" w:hAnsi="Arial" w:cs="Arial"/>
          <w:lang w:val="en-US"/>
        </w:rPr>
        <w:t xml:space="preserve"> de coupe de </w:t>
      </w:r>
      <w:proofErr w:type="spellStart"/>
      <w:r w:rsidRPr="00F07816">
        <w:rPr>
          <w:rFonts w:ascii="Arial" w:hAnsi="Arial" w:cs="Arial"/>
          <w:lang w:val="en-US"/>
        </w:rPr>
        <w:t>l'outil</w:t>
      </w:r>
      <w:proofErr w:type="spellEnd"/>
      <w:r w:rsidRPr="00F07816">
        <w:rPr>
          <w:rFonts w:ascii="Arial" w:hAnsi="Arial" w:cs="Arial"/>
          <w:lang w:val="en-US"/>
        </w:rPr>
        <w:t xml:space="preserve"> </w:t>
      </w:r>
      <w:proofErr w:type="spellStart"/>
      <w:r w:rsidRPr="00F07816">
        <w:rPr>
          <w:rFonts w:ascii="Arial" w:hAnsi="Arial" w:cs="Arial"/>
          <w:lang w:val="en-US"/>
        </w:rPr>
        <w:t>joue</w:t>
      </w:r>
      <w:proofErr w:type="spellEnd"/>
      <w:r w:rsidRPr="00F07816">
        <w:rPr>
          <w:rFonts w:ascii="Arial" w:hAnsi="Arial" w:cs="Arial"/>
          <w:lang w:val="en-US"/>
        </w:rPr>
        <w:t xml:space="preserve"> un </w:t>
      </w:r>
      <w:proofErr w:type="spellStart"/>
      <w:r w:rsidRPr="00F07816">
        <w:rPr>
          <w:rFonts w:ascii="Arial" w:hAnsi="Arial" w:cs="Arial"/>
          <w:lang w:val="en-US"/>
        </w:rPr>
        <w:t>rôle</w:t>
      </w:r>
      <w:proofErr w:type="spellEnd"/>
      <w:r w:rsidRPr="00F07816">
        <w:rPr>
          <w:rFonts w:ascii="Arial" w:hAnsi="Arial" w:cs="Arial"/>
          <w:lang w:val="en-US"/>
        </w:rPr>
        <w:t xml:space="preserve"> </w:t>
      </w:r>
      <w:proofErr w:type="spellStart"/>
      <w:r w:rsidRPr="00F07816">
        <w:rPr>
          <w:rFonts w:ascii="Arial" w:hAnsi="Arial" w:cs="Arial"/>
          <w:lang w:val="en-US"/>
        </w:rPr>
        <w:t>déterminant</w:t>
      </w:r>
      <w:proofErr w:type="spellEnd"/>
      <w:r w:rsidRPr="00F07816">
        <w:rPr>
          <w:rFonts w:ascii="Arial" w:hAnsi="Arial" w:cs="Arial"/>
          <w:lang w:val="en-US"/>
        </w:rPr>
        <w:t>.</w:t>
      </w:r>
    </w:p>
    <w:p w14:paraId="4BA62893" w14:textId="56B8AAB1" w:rsidR="00F07816" w:rsidRDefault="00F07816" w:rsidP="00F07816">
      <w:pPr>
        <w:rPr>
          <w:rFonts w:ascii="Arial" w:hAnsi="Arial" w:cs="Arial"/>
          <w:lang w:val="en-US"/>
        </w:rPr>
      </w:pPr>
      <w:proofErr w:type="gramStart"/>
      <w:r w:rsidRPr="00F07816">
        <w:rPr>
          <w:rFonts w:ascii="Arial" w:hAnsi="Arial" w:cs="Arial"/>
          <w:lang w:val="en-US"/>
        </w:rPr>
        <w:t>Source :</w:t>
      </w:r>
      <w:proofErr w:type="gramEnd"/>
      <w:r w:rsidRPr="00F07816">
        <w:rPr>
          <w:rFonts w:ascii="Arial" w:hAnsi="Arial" w:cs="Arial"/>
          <w:lang w:val="en-US"/>
        </w:rPr>
        <w:t xml:space="preserve"> HORN/Sauermann</w:t>
      </w:r>
    </w:p>
    <w:p w14:paraId="11DABF5E" w14:textId="77777777" w:rsidR="00F07816" w:rsidRDefault="00F07816" w:rsidP="00F07816">
      <w:pPr>
        <w:rPr>
          <w:rFonts w:ascii="Arial" w:hAnsi="Arial" w:cs="Arial"/>
          <w:lang w:val="en-US"/>
        </w:rPr>
      </w:pPr>
    </w:p>
    <w:p w14:paraId="58D9B918" w14:textId="0A90774A" w:rsidR="00E23998" w:rsidRDefault="00E23998" w:rsidP="000119F4">
      <w:pPr>
        <w:rPr>
          <w:rFonts w:ascii="Arial" w:hAnsi="Arial" w:cs="Arial"/>
          <w:lang w:val="en-US"/>
        </w:rPr>
      </w:pPr>
      <w:r>
        <w:rPr>
          <w:rFonts w:cs="Calibri"/>
          <w:noProof/>
          <w:sz w:val="24"/>
          <w:szCs w:val="24"/>
          <w:lang w:val="en-US"/>
        </w:rPr>
        <w:drawing>
          <wp:inline distT="0" distB="0" distL="0" distR="0" wp14:anchorId="633CF7B8" wp14:editId="34F843A2">
            <wp:extent cx="2159000" cy="1439334"/>
            <wp:effectExtent l="0" t="0" r="0" b="0"/>
            <wp:docPr id="195324973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249733" name="Grafik 1953249733"/>
                    <pic:cNvPicPr/>
                  </pic:nvPicPr>
                  <pic:blipFill>
                    <a:blip r:embed="rId7" cstate="screen">
                      <a:extLst>
                        <a:ext uri="{28A0092B-C50C-407E-A947-70E740481C1C}">
                          <a14:useLocalDpi xmlns:a14="http://schemas.microsoft.com/office/drawing/2010/main"/>
                        </a:ext>
                      </a:extLst>
                    </a:blip>
                    <a:stretch>
                      <a:fillRect/>
                    </a:stretch>
                  </pic:blipFill>
                  <pic:spPr>
                    <a:xfrm>
                      <a:off x="0" y="0"/>
                      <a:ext cx="2184110" cy="1456074"/>
                    </a:xfrm>
                    <a:prstGeom prst="rect">
                      <a:avLst/>
                    </a:prstGeom>
                  </pic:spPr>
                </pic:pic>
              </a:graphicData>
            </a:graphic>
          </wp:inline>
        </w:drawing>
      </w:r>
    </w:p>
    <w:p w14:paraId="215B5311" w14:textId="4DB0BCB8" w:rsidR="00E23998" w:rsidRPr="00E23998" w:rsidRDefault="00E23998" w:rsidP="000119F4">
      <w:pPr>
        <w:rPr>
          <w:rFonts w:ascii="Arial" w:hAnsi="Arial" w:cs="Arial"/>
          <w:lang w:val="fr-FR"/>
        </w:rPr>
      </w:pPr>
      <w:r w:rsidRPr="00E23998">
        <w:rPr>
          <w:rFonts w:ascii="Arial" w:hAnsi="Arial" w:cs="Arial"/>
          <w:lang w:val="fr-FR"/>
        </w:rPr>
        <w:t>P</w:t>
      </w:r>
      <w:r>
        <w:rPr>
          <w:rFonts w:ascii="Arial" w:hAnsi="Arial" w:cs="Arial"/>
          <w:lang w:val="fr-FR"/>
        </w:rPr>
        <w:t xml:space="preserve">hoto : </w:t>
      </w:r>
      <w:r w:rsidRPr="00E23998">
        <w:rPr>
          <w:rFonts w:ascii="Arial" w:hAnsi="Arial" w:cs="Arial"/>
          <w:lang w:val="fr-FR"/>
        </w:rPr>
        <w:t>Horn a mis au point un concept d'outillage complet spécialement destiné à la fabrication d'alliances.</w:t>
      </w:r>
      <w:r>
        <w:rPr>
          <w:rFonts w:ascii="Arial" w:hAnsi="Arial" w:cs="Arial"/>
          <w:lang w:val="fr-FR"/>
        </w:rPr>
        <w:br/>
      </w:r>
      <w:proofErr w:type="gramStart"/>
      <w:r w:rsidRPr="00897A5C">
        <w:rPr>
          <w:rFonts w:ascii="Arial" w:hAnsi="Arial" w:cs="Arial"/>
          <w:lang w:val="en-US"/>
        </w:rPr>
        <w:t>Source:</w:t>
      </w:r>
      <w:proofErr w:type="gramEnd"/>
      <w:r>
        <w:rPr>
          <w:rFonts w:ascii="Arial" w:hAnsi="Arial" w:cs="Arial"/>
          <w:lang w:val="en-US"/>
        </w:rPr>
        <w:t xml:space="preserve"> </w:t>
      </w:r>
      <w:r w:rsidRPr="00BF50FF">
        <w:rPr>
          <w:rFonts w:cs="Calibri"/>
          <w:sz w:val="24"/>
          <w:szCs w:val="24"/>
        </w:rPr>
        <w:t>HORN/Sauermann</w:t>
      </w:r>
    </w:p>
    <w:p w14:paraId="11992124" w14:textId="77777777" w:rsidR="00257F05" w:rsidRPr="00E41EA9" w:rsidRDefault="00257F05" w:rsidP="00257F05">
      <w:pPr>
        <w:autoSpaceDE w:val="0"/>
        <w:autoSpaceDN w:val="0"/>
        <w:adjustRightInd w:val="0"/>
        <w:spacing w:after="0" w:line="360" w:lineRule="auto"/>
        <w:rPr>
          <w:rFonts w:ascii="Arial" w:hAnsi="Arial" w:cs="Arial"/>
          <w:lang w:val="fr-FR"/>
        </w:rPr>
      </w:pPr>
      <w:r w:rsidRPr="00E41EA9">
        <w:rPr>
          <w:rFonts w:ascii="Arial" w:hAnsi="Arial" w:cs="Arial"/>
          <w:lang w:val="fr-FR"/>
        </w:rPr>
        <w:t xml:space="preserve">Responsable des demandes de </w:t>
      </w:r>
      <w:proofErr w:type="gramStart"/>
      <w:r w:rsidRPr="00E41EA9">
        <w:rPr>
          <w:rFonts w:ascii="Arial" w:hAnsi="Arial" w:cs="Arial"/>
          <w:lang w:val="fr-FR"/>
        </w:rPr>
        <w:t>précisions:</w:t>
      </w:r>
      <w:proofErr w:type="gramEnd"/>
      <w:r w:rsidRPr="00E41EA9">
        <w:rPr>
          <w:rFonts w:ascii="Arial" w:hAnsi="Arial" w:cs="Arial"/>
          <w:lang w:val="fr-FR"/>
        </w:rPr>
        <w:t xml:space="preserve"> </w:t>
      </w:r>
    </w:p>
    <w:p w14:paraId="3A991495" w14:textId="77777777" w:rsidR="00257F05" w:rsidRDefault="00257F05" w:rsidP="00257F05">
      <w:pPr>
        <w:autoSpaceDE w:val="0"/>
        <w:autoSpaceDN w:val="0"/>
        <w:adjustRightInd w:val="0"/>
        <w:spacing w:after="0" w:line="360" w:lineRule="auto"/>
        <w:rPr>
          <w:rFonts w:ascii="Arial" w:hAnsi="Arial" w:cs="Arial"/>
        </w:rPr>
      </w:pPr>
      <w:r w:rsidRPr="00A34100">
        <w:rPr>
          <w:rFonts w:ascii="Arial" w:hAnsi="Arial" w:cs="Arial"/>
        </w:rPr>
        <w:t>Hartmetall-Werkzeugfabrik Paul Horn GmbH</w:t>
      </w:r>
    </w:p>
    <w:p w14:paraId="1DB75BF1" w14:textId="77777777" w:rsidR="00257F05" w:rsidRPr="00A34100" w:rsidRDefault="00257F05" w:rsidP="00257F05">
      <w:pPr>
        <w:autoSpaceDE w:val="0"/>
        <w:autoSpaceDN w:val="0"/>
        <w:adjustRightInd w:val="0"/>
        <w:spacing w:after="0" w:line="360" w:lineRule="auto"/>
        <w:rPr>
          <w:rFonts w:ascii="Arial" w:hAnsi="Arial" w:cs="Arial"/>
        </w:rPr>
      </w:pPr>
      <w:r w:rsidRPr="00A34100">
        <w:rPr>
          <w:rFonts w:ascii="Arial" w:hAnsi="Arial" w:cs="Arial"/>
        </w:rPr>
        <w:t>Christian Thiele</w:t>
      </w:r>
    </w:p>
    <w:p w14:paraId="1E4EEECA" w14:textId="77777777" w:rsidR="00257F05" w:rsidRDefault="00257F05" w:rsidP="00257F05">
      <w:pPr>
        <w:autoSpaceDE w:val="0"/>
        <w:autoSpaceDN w:val="0"/>
        <w:adjustRightInd w:val="0"/>
        <w:spacing w:after="0" w:line="360" w:lineRule="auto"/>
        <w:rPr>
          <w:rFonts w:ascii="Arial" w:hAnsi="Arial" w:cs="Arial"/>
        </w:rPr>
      </w:pPr>
      <w:proofErr w:type="spellStart"/>
      <w:r>
        <w:rPr>
          <w:rFonts w:ascii="Arial" w:hAnsi="Arial" w:cs="Arial"/>
        </w:rPr>
        <w:t>Chargé</w:t>
      </w:r>
      <w:proofErr w:type="spellEnd"/>
      <w:r>
        <w:rPr>
          <w:rFonts w:ascii="Arial" w:hAnsi="Arial" w:cs="Arial"/>
        </w:rPr>
        <w:t xml:space="preserve"> de presse</w:t>
      </w:r>
    </w:p>
    <w:p w14:paraId="552B84BD" w14:textId="77777777" w:rsidR="00257F05" w:rsidRPr="00A34100" w:rsidRDefault="00257F05" w:rsidP="00257F05">
      <w:pPr>
        <w:autoSpaceDE w:val="0"/>
        <w:autoSpaceDN w:val="0"/>
        <w:adjustRightInd w:val="0"/>
        <w:spacing w:after="0" w:line="360" w:lineRule="auto"/>
        <w:rPr>
          <w:rFonts w:ascii="Arial" w:hAnsi="Arial" w:cs="Arial"/>
        </w:rPr>
      </w:pPr>
      <w:r>
        <w:rPr>
          <w:rFonts w:ascii="Arial" w:hAnsi="Arial" w:cs="Arial"/>
        </w:rPr>
        <w:t>Horn-Straße 1</w:t>
      </w:r>
      <w:r w:rsidRPr="00A34100">
        <w:rPr>
          <w:rFonts w:ascii="Arial" w:hAnsi="Arial" w:cs="Arial"/>
        </w:rPr>
        <w:t>, 72072 Tübingen</w:t>
      </w:r>
    </w:p>
    <w:p w14:paraId="019019D6" w14:textId="77777777" w:rsidR="00257F05" w:rsidRPr="00A34100" w:rsidRDefault="00257F05" w:rsidP="00257F05">
      <w:pPr>
        <w:autoSpaceDE w:val="0"/>
        <w:autoSpaceDN w:val="0"/>
        <w:adjustRightInd w:val="0"/>
        <w:spacing w:after="0" w:line="360" w:lineRule="auto"/>
        <w:rPr>
          <w:rFonts w:ascii="Arial" w:hAnsi="Arial" w:cs="Arial"/>
          <w:lang w:val="en-US"/>
        </w:rPr>
      </w:pPr>
      <w:r w:rsidRPr="00A34100">
        <w:rPr>
          <w:rFonts w:ascii="Arial" w:hAnsi="Arial" w:cs="Arial"/>
          <w:lang w:val="en-US"/>
        </w:rPr>
        <w:t>Tel.: +49 7071 7004-1820, Fax: +49 7071 72893</w:t>
      </w:r>
    </w:p>
    <w:p w14:paraId="103BCBAF" w14:textId="77777777" w:rsidR="00972CFB" w:rsidRDefault="00257F05" w:rsidP="00972CFB">
      <w:pPr>
        <w:spacing w:line="360" w:lineRule="auto"/>
        <w:rPr>
          <w:rFonts w:ascii="Arial" w:hAnsi="Arial" w:cs="Arial"/>
          <w:lang w:val="it-IT"/>
        </w:rPr>
      </w:pPr>
      <w:r w:rsidRPr="00F5059A">
        <w:rPr>
          <w:rFonts w:ascii="Arial" w:hAnsi="Arial" w:cs="Arial"/>
          <w:lang w:val="en-US"/>
        </w:rPr>
        <w:t xml:space="preserve">Email: </w:t>
      </w:r>
      <w:hyperlink r:id="rId8" w:history="1">
        <w:r w:rsidR="009E62C1" w:rsidRPr="00B23CE1">
          <w:rPr>
            <w:rStyle w:val="Hyperlink"/>
            <w:rFonts w:ascii="Arial" w:hAnsi="Arial" w:cs="Arial"/>
            <w:lang w:val="it-IT"/>
          </w:rPr>
          <w:t>Christian.Thiele@de.horn-group.com</w:t>
        </w:r>
      </w:hyperlink>
      <w:r w:rsidR="009E62C1">
        <w:rPr>
          <w:rFonts w:ascii="Arial" w:hAnsi="Arial" w:cs="Arial"/>
          <w:lang w:val="it-IT"/>
        </w:rPr>
        <w:t xml:space="preserve">, </w:t>
      </w:r>
      <w:hyperlink r:id="rId9" w:history="1">
        <w:r w:rsidR="00972CFB" w:rsidRPr="003B7845">
          <w:rPr>
            <w:rStyle w:val="Hyperlink"/>
            <w:rFonts w:ascii="Arial" w:hAnsi="Arial" w:cs="Arial"/>
            <w:lang w:val="it-IT"/>
          </w:rPr>
          <w:t>horn-group.com</w:t>
        </w:r>
      </w:hyperlink>
    </w:p>
    <w:p w14:paraId="67E0B38B" w14:textId="77777777" w:rsidR="00257F05" w:rsidRPr="00E41EA9" w:rsidRDefault="00257F05" w:rsidP="000119F4">
      <w:pPr>
        <w:rPr>
          <w:rFonts w:ascii="Arial" w:hAnsi="Arial" w:cs="Arial"/>
          <w:lang w:val="en-US"/>
        </w:rPr>
      </w:pPr>
    </w:p>
    <w:sectPr w:rsidR="00257F05" w:rsidRPr="00E41EA9"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92B85" w14:textId="77777777" w:rsidR="00104A6F" w:rsidRDefault="00104A6F" w:rsidP="00925DB2">
      <w:pPr>
        <w:spacing w:after="0" w:line="240" w:lineRule="auto"/>
      </w:pPr>
      <w:r>
        <w:separator/>
      </w:r>
    </w:p>
  </w:endnote>
  <w:endnote w:type="continuationSeparator" w:id="0">
    <w:p w14:paraId="533E8094" w14:textId="77777777" w:rsidR="00104A6F" w:rsidRDefault="00104A6F"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15C2E" w14:textId="77777777" w:rsidR="00DD4B1C" w:rsidRPr="00925DB2" w:rsidRDefault="00DD4B1C">
    <w:pPr>
      <w:pStyle w:val="Fuzeile"/>
      <w:jc w:val="right"/>
      <w:rPr>
        <w:rFonts w:ascii="Arial" w:hAnsi="Arial" w:cs="Arial"/>
        <w:sz w:val="16"/>
        <w:szCs w:val="16"/>
      </w:rPr>
    </w:pPr>
  </w:p>
  <w:p w14:paraId="703A11F9" w14:textId="77777777"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257F05">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257F05">
      <w:rPr>
        <w:rFonts w:ascii="Arial" w:hAnsi="Arial" w:cs="Arial"/>
        <w:noProof/>
        <w:sz w:val="16"/>
        <w:szCs w:val="16"/>
      </w:rPr>
      <w:t>2</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D750A" w14:textId="77777777" w:rsidR="0091455E" w:rsidRPr="00925DB2" w:rsidRDefault="0091455E" w:rsidP="0091455E">
    <w:pPr>
      <w:pStyle w:val="Fuzeile"/>
      <w:jc w:val="right"/>
      <w:rPr>
        <w:rFonts w:ascii="Arial" w:hAnsi="Arial" w:cs="Arial"/>
        <w:sz w:val="16"/>
        <w:szCs w:val="16"/>
      </w:rPr>
    </w:pPr>
  </w:p>
  <w:p w14:paraId="536FA054" w14:textId="77777777"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972CFB">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972CFB">
      <w:rPr>
        <w:rFonts w:ascii="Arial" w:hAnsi="Arial" w:cs="Arial"/>
        <w:noProof/>
        <w:sz w:val="16"/>
        <w:szCs w:val="16"/>
      </w:rPr>
      <w:t>1</w:t>
    </w:r>
    <w:r w:rsidRPr="00925DB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E09B4" w14:textId="77777777" w:rsidR="00104A6F" w:rsidRDefault="00104A6F" w:rsidP="00925DB2">
      <w:pPr>
        <w:spacing w:after="0" w:line="240" w:lineRule="auto"/>
      </w:pPr>
      <w:r>
        <w:separator/>
      </w:r>
    </w:p>
  </w:footnote>
  <w:footnote w:type="continuationSeparator" w:id="0">
    <w:p w14:paraId="6CA50C19" w14:textId="77777777" w:rsidR="00104A6F" w:rsidRDefault="00104A6F" w:rsidP="00925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961F8"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E504249"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80BA02B"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10C6D8F"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44D3DBEB"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EA89F77"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75FA4A94"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E0C125E"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0296AB4"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FEF4AF6" w14:textId="77777777"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14:anchorId="1BE562EB" wp14:editId="4A108093">
          <wp:simplePos x="0" y="0"/>
          <wp:positionH relativeFrom="page">
            <wp:posOffset>0</wp:posOffset>
          </wp:positionH>
          <wp:positionV relativeFrom="page">
            <wp:posOffset>0</wp:posOffset>
          </wp:positionV>
          <wp:extent cx="7551420" cy="1798955"/>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56299" w14:textId="77777777" w:rsidR="00CC4269" w:rsidRPr="00CC4269" w:rsidRDefault="00CC4269" w:rsidP="00CC4269">
    <w:pPr>
      <w:pStyle w:val="Kopfzeile"/>
      <w:spacing w:line="276" w:lineRule="auto"/>
      <w:rPr>
        <w:rFonts w:ascii="Arial" w:hAnsi="Arial" w:cs="Arial"/>
        <w:sz w:val="20"/>
      </w:rPr>
    </w:pPr>
  </w:p>
  <w:p w14:paraId="6D0435A9" w14:textId="77777777" w:rsidR="00CC4269" w:rsidRPr="00CC4269" w:rsidRDefault="00CC4269" w:rsidP="00CC4269">
    <w:pPr>
      <w:pStyle w:val="Kopfzeile"/>
      <w:spacing w:line="276" w:lineRule="auto"/>
      <w:rPr>
        <w:rFonts w:ascii="Arial" w:hAnsi="Arial" w:cs="Arial"/>
        <w:sz w:val="20"/>
      </w:rPr>
    </w:pPr>
  </w:p>
  <w:p w14:paraId="558B896E" w14:textId="77777777" w:rsidR="00CC4269" w:rsidRPr="00CC4269" w:rsidRDefault="00CC4269" w:rsidP="00CC4269">
    <w:pPr>
      <w:pStyle w:val="Kopfzeile"/>
      <w:spacing w:line="276" w:lineRule="auto"/>
      <w:rPr>
        <w:rFonts w:ascii="Arial" w:hAnsi="Arial" w:cs="Arial"/>
        <w:sz w:val="20"/>
      </w:rPr>
    </w:pPr>
  </w:p>
  <w:p w14:paraId="652436AC" w14:textId="77777777" w:rsidR="00CC4269" w:rsidRPr="00CC4269" w:rsidRDefault="00CC4269" w:rsidP="00CC4269">
    <w:pPr>
      <w:pStyle w:val="Kopfzeile"/>
      <w:spacing w:line="276" w:lineRule="auto"/>
      <w:rPr>
        <w:rFonts w:ascii="Arial" w:hAnsi="Arial" w:cs="Arial"/>
        <w:sz w:val="20"/>
      </w:rPr>
    </w:pPr>
  </w:p>
  <w:p w14:paraId="39524C09" w14:textId="77777777"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762171DF" wp14:editId="7C1A7C7B">
          <wp:simplePos x="0" y="0"/>
          <wp:positionH relativeFrom="page">
            <wp:posOffset>0</wp:posOffset>
          </wp:positionH>
          <wp:positionV relativeFrom="page">
            <wp:posOffset>0</wp:posOffset>
          </wp:positionV>
          <wp:extent cx="7551420" cy="1798955"/>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55"/>
    <w:rsid w:val="000034D9"/>
    <w:rsid w:val="000119F4"/>
    <w:rsid w:val="00014CB7"/>
    <w:rsid w:val="0002151F"/>
    <w:rsid w:val="000327A8"/>
    <w:rsid w:val="00033E12"/>
    <w:rsid w:val="000370FD"/>
    <w:rsid w:val="0006318C"/>
    <w:rsid w:val="00073771"/>
    <w:rsid w:val="00083723"/>
    <w:rsid w:val="00094644"/>
    <w:rsid w:val="000A36AA"/>
    <w:rsid w:val="000C3359"/>
    <w:rsid w:val="000C7345"/>
    <w:rsid w:val="000E45D3"/>
    <w:rsid w:val="00104A6F"/>
    <w:rsid w:val="00136B12"/>
    <w:rsid w:val="00144A29"/>
    <w:rsid w:val="0016158B"/>
    <w:rsid w:val="001B3DED"/>
    <w:rsid w:val="001D3FDF"/>
    <w:rsid w:val="001E6C8C"/>
    <w:rsid w:val="001F0082"/>
    <w:rsid w:val="00233FBE"/>
    <w:rsid w:val="002540BA"/>
    <w:rsid w:val="00255304"/>
    <w:rsid w:val="00257F05"/>
    <w:rsid w:val="002A0FBC"/>
    <w:rsid w:val="002B43E1"/>
    <w:rsid w:val="002B7497"/>
    <w:rsid w:val="002C5EEA"/>
    <w:rsid w:val="002D3034"/>
    <w:rsid w:val="002F6AA3"/>
    <w:rsid w:val="00330180"/>
    <w:rsid w:val="0037244C"/>
    <w:rsid w:val="00392DC1"/>
    <w:rsid w:val="003977AA"/>
    <w:rsid w:val="003D70ED"/>
    <w:rsid w:val="003E3E66"/>
    <w:rsid w:val="003F5834"/>
    <w:rsid w:val="00407668"/>
    <w:rsid w:val="0041301E"/>
    <w:rsid w:val="004335FD"/>
    <w:rsid w:val="00434B0A"/>
    <w:rsid w:val="00437AB3"/>
    <w:rsid w:val="00471C29"/>
    <w:rsid w:val="00472F73"/>
    <w:rsid w:val="004B4972"/>
    <w:rsid w:val="004C09C0"/>
    <w:rsid w:val="004E285F"/>
    <w:rsid w:val="004E372C"/>
    <w:rsid w:val="004E4EC2"/>
    <w:rsid w:val="004E6F5A"/>
    <w:rsid w:val="00521B1D"/>
    <w:rsid w:val="00545B8A"/>
    <w:rsid w:val="00554440"/>
    <w:rsid w:val="00556398"/>
    <w:rsid w:val="00567DA8"/>
    <w:rsid w:val="005B372D"/>
    <w:rsid w:val="005C5298"/>
    <w:rsid w:val="005E299E"/>
    <w:rsid w:val="005E62B9"/>
    <w:rsid w:val="00613420"/>
    <w:rsid w:val="00617E9D"/>
    <w:rsid w:val="00636ABA"/>
    <w:rsid w:val="00650455"/>
    <w:rsid w:val="00693D38"/>
    <w:rsid w:val="006A247B"/>
    <w:rsid w:val="006A5291"/>
    <w:rsid w:val="006F3A10"/>
    <w:rsid w:val="007019A7"/>
    <w:rsid w:val="00706F5D"/>
    <w:rsid w:val="00723E5C"/>
    <w:rsid w:val="00725BCA"/>
    <w:rsid w:val="00731DE2"/>
    <w:rsid w:val="00734587"/>
    <w:rsid w:val="0075139F"/>
    <w:rsid w:val="00762688"/>
    <w:rsid w:val="0078218B"/>
    <w:rsid w:val="007879E0"/>
    <w:rsid w:val="007A52E3"/>
    <w:rsid w:val="007D3C38"/>
    <w:rsid w:val="007F1A5E"/>
    <w:rsid w:val="007F41C0"/>
    <w:rsid w:val="007F6A41"/>
    <w:rsid w:val="008371F7"/>
    <w:rsid w:val="008541F6"/>
    <w:rsid w:val="00854D1B"/>
    <w:rsid w:val="00856156"/>
    <w:rsid w:val="008773F2"/>
    <w:rsid w:val="00897A5C"/>
    <w:rsid w:val="008A1283"/>
    <w:rsid w:val="008D6D9E"/>
    <w:rsid w:val="008E6293"/>
    <w:rsid w:val="008F78CE"/>
    <w:rsid w:val="00903207"/>
    <w:rsid w:val="00904397"/>
    <w:rsid w:val="009123B9"/>
    <w:rsid w:val="0091455E"/>
    <w:rsid w:val="00925DB2"/>
    <w:rsid w:val="00926A64"/>
    <w:rsid w:val="009359C7"/>
    <w:rsid w:val="00940AAC"/>
    <w:rsid w:val="00944708"/>
    <w:rsid w:val="009703B6"/>
    <w:rsid w:val="00972CFB"/>
    <w:rsid w:val="00995A54"/>
    <w:rsid w:val="009B0ADA"/>
    <w:rsid w:val="009B7A4E"/>
    <w:rsid w:val="009E08E7"/>
    <w:rsid w:val="009E2257"/>
    <w:rsid w:val="009E25AE"/>
    <w:rsid w:val="009E57D2"/>
    <w:rsid w:val="009E62C1"/>
    <w:rsid w:val="00A051EE"/>
    <w:rsid w:val="00A104B3"/>
    <w:rsid w:val="00A23074"/>
    <w:rsid w:val="00A23939"/>
    <w:rsid w:val="00A330B5"/>
    <w:rsid w:val="00A60596"/>
    <w:rsid w:val="00A617E2"/>
    <w:rsid w:val="00A65E23"/>
    <w:rsid w:val="00A84F31"/>
    <w:rsid w:val="00A9258C"/>
    <w:rsid w:val="00AA51BC"/>
    <w:rsid w:val="00AF5558"/>
    <w:rsid w:val="00B0243E"/>
    <w:rsid w:val="00B11BD6"/>
    <w:rsid w:val="00B15205"/>
    <w:rsid w:val="00B505B7"/>
    <w:rsid w:val="00B5079A"/>
    <w:rsid w:val="00B6538A"/>
    <w:rsid w:val="00BA0AE7"/>
    <w:rsid w:val="00BC1085"/>
    <w:rsid w:val="00BD5A8D"/>
    <w:rsid w:val="00BD793B"/>
    <w:rsid w:val="00BE0F8E"/>
    <w:rsid w:val="00BE7556"/>
    <w:rsid w:val="00BF07D2"/>
    <w:rsid w:val="00C03381"/>
    <w:rsid w:val="00C512DF"/>
    <w:rsid w:val="00C51449"/>
    <w:rsid w:val="00C527F9"/>
    <w:rsid w:val="00C543FD"/>
    <w:rsid w:val="00C60406"/>
    <w:rsid w:val="00C60E5C"/>
    <w:rsid w:val="00C641DC"/>
    <w:rsid w:val="00C67D46"/>
    <w:rsid w:val="00C74A47"/>
    <w:rsid w:val="00C848B8"/>
    <w:rsid w:val="00CB138C"/>
    <w:rsid w:val="00CC4269"/>
    <w:rsid w:val="00D62E01"/>
    <w:rsid w:val="00DA4DF2"/>
    <w:rsid w:val="00DA4F95"/>
    <w:rsid w:val="00DC36B0"/>
    <w:rsid w:val="00DD4B1C"/>
    <w:rsid w:val="00DE22B7"/>
    <w:rsid w:val="00E0265F"/>
    <w:rsid w:val="00E22D8A"/>
    <w:rsid w:val="00E23998"/>
    <w:rsid w:val="00E41EA9"/>
    <w:rsid w:val="00E44CBF"/>
    <w:rsid w:val="00E47F2A"/>
    <w:rsid w:val="00E86700"/>
    <w:rsid w:val="00EC7570"/>
    <w:rsid w:val="00EF64CF"/>
    <w:rsid w:val="00F07816"/>
    <w:rsid w:val="00F103BF"/>
    <w:rsid w:val="00F11892"/>
    <w:rsid w:val="00F15E1F"/>
    <w:rsid w:val="00F46249"/>
    <w:rsid w:val="00F46FB3"/>
    <w:rsid w:val="00F53BFD"/>
    <w:rsid w:val="00F54949"/>
    <w:rsid w:val="00F739CB"/>
    <w:rsid w:val="00F82B4E"/>
    <w:rsid w:val="00F82CF0"/>
    <w:rsid w:val="00F91EEC"/>
    <w:rsid w:val="00FA7917"/>
    <w:rsid w:val="00FB21CF"/>
    <w:rsid w:val="00FB401E"/>
    <w:rsid w:val="00FC073A"/>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41EE7"/>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073A"/>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 w:type="character" w:customStyle="1" w:styleId="shorttext">
    <w:name w:val="short_text"/>
    <w:basedOn w:val="Absatz-Standardschriftart"/>
    <w:rsid w:val="000119F4"/>
  </w:style>
  <w:style w:type="character" w:customStyle="1" w:styleId="hps">
    <w:name w:val="hps"/>
    <w:basedOn w:val="Absatz-Standardschriftart"/>
    <w:rsid w:val="000119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21487">
      <w:bodyDiv w:val="1"/>
      <w:marLeft w:val="0"/>
      <w:marRight w:val="0"/>
      <w:marTop w:val="0"/>
      <w:marBottom w:val="0"/>
      <w:divBdr>
        <w:top w:val="none" w:sz="0" w:space="0" w:color="auto"/>
        <w:left w:val="none" w:sz="0" w:space="0" w:color="auto"/>
        <w:bottom w:val="none" w:sz="0" w:space="0" w:color="auto"/>
        <w:right w:val="none" w:sz="0" w:space="0" w:color="auto"/>
      </w:divBdr>
    </w:div>
    <w:div w:id="20770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de.horn-group.com"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horn-group.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972</Words>
  <Characters>5642</Characters>
  <Application>Microsoft Office Word</Application>
  <DocSecurity>0</DocSecurity>
  <Lines>110</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6585</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lastModifiedBy>Nico Sauermann</cp:lastModifiedBy>
  <cp:revision>15</cp:revision>
  <cp:lastPrinted>2015-02-20T10:59:00Z</cp:lastPrinted>
  <dcterms:created xsi:type="dcterms:W3CDTF">2019-01-31T08:53:00Z</dcterms:created>
  <dcterms:modified xsi:type="dcterms:W3CDTF">2026-03-27T12:50:00Z</dcterms:modified>
</cp:coreProperties>
</file>